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BC740" w14:textId="668BFB14" w:rsidR="002D3046" w:rsidRDefault="00E9790F">
      <w:pPr>
        <w:rPr>
          <w:b/>
          <w:bCs/>
          <w:sz w:val="36"/>
          <w:szCs w:val="36"/>
        </w:rPr>
      </w:pPr>
      <w:r w:rsidRPr="00E9790F">
        <w:rPr>
          <w:b/>
          <w:bCs/>
          <w:sz w:val="36"/>
          <w:szCs w:val="36"/>
        </w:rPr>
        <w:t>De wet</w:t>
      </w:r>
      <w:r w:rsidR="002D3046">
        <w:rPr>
          <w:b/>
          <w:bCs/>
          <w:sz w:val="36"/>
          <w:szCs w:val="36"/>
        </w:rPr>
        <w:t xml:space="preserve"> dwingt NIS2 bedrijven en organisaties om de hele keten, dus alle leveranciers</w:t>
      </w:r>
      <w:r w:rsidR="00BC7ACD">
        <w:rPr>
          <w:b/>
          <w:bCs/>
          <w:sz w:val="36"/>
          <w:szCs w:val="36"/>
        </w:rPr>
        <w:t>,</w:t>
      </w:r>
      <w:r w:rsidR="002D3046">
        <w:rPr>
          <w:b/>
          <w:bCs/>
          <w:sz w:val="36"/>
          <w:szCs w:val="36"/>
        </w:rPr>
        <w:t xml:space="preserve"> te controleren.</w:t>
      </w:r>
    </w:p>
    <w:p w14:paraId="19885A55" w14:textId="4B47097A" w:rsidR="00E9790F" w:rsidRPr="00BC7ACD" w:rsidRDefault="002D3046">
      <w:r w:rsidRPr="00BC7ACD">
        <w:t xml:space="preserve">De </w:t>
      </w:r>
      <w:r w:rsidR="00E9790F" w:rsidRPr="00BC7ACD">
        <w:t xml:space="preserve">overheid </w:t>
      </w:r>
      <w:r w:rsidRPr="00BC7ACD">
        <w:t xml:space="preserve">heeft </w:t>
      </w:r>
      <w:r w:rsidR="009F2AE0">
        <w:t>hier</w:t>
      </w:r>
      <w:r w:rsidRPr="00BC7ACD">
        <w:t>over gepubliceerd.</w:t>
      </w:r>
      <w:r w:rsidR="009F2AE0">
        <w:t xml:space="preserve"> Hier enkele voorbeelden:</w:t>
      </w:r>
    </w:p>
    <w:p w14:paraId="2EBE7AD1" w14:textId="6D95F924" w:rsidR="00E9790F" w:rsidRPr="00E9790F" w:rsidRDefault="00E9790F">
      <w:pPr>
        <w:rPr>
          <w:color w:val="45B0E1" w:themeColor="accent1" w:themeTint="99"/>
          <w:sz w:val="28"/>
          <w:szCs w:val="28"/>
        </w:rPr>
      </w:pPr>
      <w:r w:rsidRPr="00E9790F">
        <w:rPr>
          <w:color w:val="45B0E1" w:themeColor="accent1" w:themeTint="99"/>
          <w:sz w:val="28"/>
          <w:szCs w:val="28"/>
        </w:rPr>
        <w:t xml:space="preserve">Op de website </w:t>
      </w:r>
      <w:r>
        <w:rPr>
          <w:color w:val="45B0E1" w:themeColor="accent1" w:themeTint="99"/>
          <w:sz w:val="28"/>
          <w:szCs w:val="28"/>
        </w:rPr>
        <w:t>DTC</w:t>
      </w:r>
      <w:r w:rsidRPr="00E9790F">
        <w:rPr>
          <w:color w:val="45B0E1" w:themeColor="accent1" w:themeTint="99"/>
          <w:sz w:val="28"/>
          <w:szCs w:val="28"/>
        </w:rPr>
        <w:t xml:space="preserve"> staat veel informatie over de keten in de NIS2. </w:t>
      </w:r>
      <w:r w:rsidR="009F2AE0">
        <w:rPr>
          <w:color w:val="45B0E1" w:themeColor="accent1" w:themeTint="99"/>
          <w:sz w:val="28"/>
          <w:szCs w:val="28"/>
        </w:rPr>
        <w:t>Voorbeelden van risico’s:</w:t>
      </w:r>
    </w:p>
    <w:p w14:paraId="1C4D0A4E" w14:textId="77777777" w:rsidR="00E9790F" w:rsidRPr="00DA4D6D" w:rsidRDefault="00E9790F" w:rsidP="00E9790F">
      <w:pPr>
        <w:numPr>
          <w:ilvl w:val="0"/>
          <w:numId w:val="1"/>
        </w:numPr>
        <w:rPr>
          <w:i/>
          <w:iCs/>
          <w:u w:val="single"/>
        </w:rPr>
      </w:pPr>
      <w:r w:rsidRPr="00DA4D6D">
        <w:rPr>
          <w:i/>
          <w:iCs/>
          <w:u w:val="single"/>
        </w:rPr>
        <w:t>Een toeleverancier levert niet meer als gevolg van een digitale aanval;</w:t>
      </w:r>
    </w:p>
    <w:p w14:paraId="52910B81" w14:textId="77777777" w:rsidR="00E9790F" w:rsidRPr="00DA4D6D" w:rsidRDefault="00E9790F" w:rsidP="00E9790F">
      <w:pPr>
        <w:numPr>
          <w:ilvl w:val="0"/>
          <w:numId w:val="1"/>
        </w:numPr>
        <w:rPr>
          <w:i/>
          <w:iCs/>
        </w:rPr>
      </w:pPr>
      <w:r w:rsidRPr="00DA4D6D">
        <w:rPr>
          <w:i/>
          <w:iCs/>
        </w:rPr>
        <w:t>Je (IT-)dienstverlener is gehackt en hierdoor heeft de aanvaller mogelijk ook toegang tot jouw (digitale) systemen;</w:t>
      </w:r>
    </w:p>
    <w:p w14:paraId="21734468" w14:textId="77777777" w:rsidR="00E9790F" w:rsidRPr="00DA4D6D" w:rsidRDefault="00E9790F" w:rsidP="00E9790F">
      <w:pPr>
        <w:numPr>
          <w:ilvl w:val="0"/>
          <w:numId w:val="1"/>
        </w:numPr>
        <w:rPr>
          <w:i/>
          <w:iCs/>
        </w:rPr>
      </w:pPr>
      <w:r w:rsidRPr="00DA4D6D">
        <w:rPr>
          <w:i/>
          <w:iCs/>
        </w:rPr>
        <w:t>Er is een kritieke kwetsbaarheid ontdekt in één van de (digitale) producten of diensten die je gebruikt in je bedrijfsproces.</w:t>
      </w:r>
    </w:p>
    <w:p w14:paraId="4E4DA027" w14:textId="2E2BF772" w:rsidR="00E9790F" w:rsidRDefault="00E9790F" w:rsidP="00E9790F">
      <w:pPr>
        <w:rPr>
          <w:i/>
          <w:iCs/>
          <w:u w:val="single"/>
        </w:rPr>
      </w:pPr>
      <w:r>
        <w:t xml:space="preserve">Het eerste punt is </w:t>
      </w:r>
      <w:r w:rsidRPr="00DA4D6D">
        <w:t>kristalhelder:</w:t>
      </w:r>
      <w:r w:rsidR="009F2AE0">
        <w:t xml:space="preserve"> als</w:t>
      </w:r>
      <w:r w:rsidRPr="00DA4D6D">
        <w:t xml:space="preserve"> </w:t>
      </w:r>
      <w:r w:rsidRPr="00E9790F">
        <w:rPr>
          <w:i/>
          <w:iCs/>
          <w:u w:val="single"/>
        </w:rPr>
        <w:t>Een toeleverancier levert niet meer als gevolg van een digitale aanval</w:t>
      </w:r>
      <w:r w:rsidR="009F2AE0">
        <w:rPr>
          <w:i/>
          <w:iCs/>
          <w:u w:val="single"/>
        </w:rPr>
        <w:t xml:space="preserve">, </w:t>
      </w:r>
      <w:r w:rsidR="009F2AE0" w:rsidRPr="009F2AE0">
        <w:t>heeft dat directe impact</w:t>
      </w:r>
      <w:r w:rsidRPr="009F2AE0">
        <w:t>.</w:t>
      </w:r>
      <w:r>
        <w:rPr>
          <w:i/>
          <w:iCs/>
          <w:u w:val="single"/>
        </w:rPr>
        <w:t xml:space="preserve"> </w:t>
      </w:r>
    </w:p>
    <w:p w14:paraId="70C6FD96" w14:textId="6EA2C559" w:rsidR="00E9790F" w:rsidRDefault="00E9790F" w:rsidP="00E9790F">
      <w:pPr>
        <w:rPr>
          <w:b/>
          <w:bCs/>
          <w:u w:val="single"/>
        </w:rPr>
      </w:pPr>
      <w:r>
        <w:rPr>
          <w:b/>
          <w:bCs/>
          <w:u w:val="single"/>
        </w:rPr>
        <w:t xml:space="preserve">Conclusie: </w:t>
      </w:r>
      <w:r w:rsidRPr="009F2AE0">
        <w:rPr>
          <w:u w:val="single"/>
        </w:rPr>
        <w:t xml:space="preserve">Alleen IT-en </w:t>
      </w:r>
      <w:r w:rsidR="002D3046" w:rsidRPr="009F2AE0">
        <w:rPr>
          <w:u w:val="single"/>
        </w:rPr>
        <w:t>OT-risico’s</w:t>
      </w:r>
      <w:r w:rsidRPr="009F2AE0">
        <w:rPr>
          <w:u w:val="single"/>
        </w:rPr>
        <w:t xml:space="preserve"> bekijken zijn dus NIET meer voldoende.</w:t>
      </w:r>
      <w:r>
        <w:rPr>
          <w:b/>
          <w:bCs/>
          <w:u w:val="single"/>
        </w:rPr>
        <w:t xml:space="preserve"> </w:t>
      </w:r>
    </w:p>
    <w:p w14:paraId="3B35ADA7" w14:textId="20A04D96" w:rsidR="00E9790F" w:rsidRDefault="00E9790F" w:rsidP="00E9790F">
      <w:r w:rsidRPr="007419E1">
        <w:rPr>
          <w:b/>
          <w:bCs/>
          <w:u w:val="single"/>
        </w:rPr>
        <w:t xml:space="preserve">Oplossing: </w:t>
      </w:r>
      <w:r w:rsidRPr="009F2AE0">
        <w:rPr>
          <w:u w:val="single"/>
        </w:rPr>
        <w:t>We hebben een lijst met alle mogelijk type risico leveranciers gemaakt</w:t>
      </w:r>
      <w:r w:rsidRPr="009F2AE0">
        <w:t>.</w:t>
      </w:r>
      <w:r>
        <w:t xml:space="preserve"> Zie document </w:t>
      </w:r>
      <w:r w:rsidRPr="00E9790F">
        <w:rPr>
          <w:b/>
          <w:bCs/>
          <w:u w:val="single"/>
        </w:rPr>
        <w:t>50.000mkb</w:t>
      </w:r>
      <w:r>
        <w:t>.</w:t>
      </w:r>
    </w:p>
    <w:p w14:paraId="3A0B77F9" w14:textId="77777777" w:rsidR="00E9790F" w:rsidRDefault="00E9790F" w:rsidP="00E9790F"/>
    <w:p w14:paraId="433D7134" w14:textId="59C2A68A" w:rsidR="00E9790F" w:rsidRPr="00E9790F" w:rsidRDefault="00E9790F" w:rsidP="00E9790F">
      <w:pPr>
        <w:rPr>
          <w:color w:val="45B0E1" w:themeColor="accent1" w:themeTint="99"/>
          <w:sz w:val="28"/>
          <w:szCs w:val="28"/>
        </w:rPr>
      </w:pPr>
      <w:r w:rsidRPr="00E9790F">
        <w:rPr>
          <w:color w:val="45B0E1" w:themeColor="accent1" w:themeTint="99"/>
          <w:sz w:val="28"/>
          <w:szCs w:val="28"/>
        </w:rPr>
        <w:t>Op de website NCSC</w:t>
      </w:r>
      <w:r>
        <w:rPr>
          <w:color w:val="45B0E1" w:themeColor="accent1" w:themeTint="99"/>
          <w:sz w:val="28"/>
          <w:szCs w:val="28"/>
        </w:rPr>
        <w:t xml:space="preserve"> staan alle te beschermen belangen</w:t>
      </w:r>
      <w:r w:rsidR="00AD742D">
        <w:rPr>
          <w:color w:val="45B0E1" w:themeColor="accent1" w:themeTint="99"/>
          <w:sz w:val="28"/>
          <w:szCs w:val="28"/>
        </w:rPr>
        <w:t xml:space="preserve"> en leveranciers</w:t>
      </w:r>
    </w:p>
    <w:p w14:paraId="035508B4" w14:textId="6F344725" w:rsidR="00E9790F" w:rsidRPr="00DA4D6D" w:rsidRDefault="00E9790F" w:rsidP="00E9790F">
      <w:r w:rsidRPr="00DA4D6D">
        <w:t>NCSC spreekt in het kader van NIS2 en cybersecurity in het algemeen over de Te Beschermen Belangen</w:t>
      </w:r>
      <w:r>
        <w:t xml:space="preserve"> en hebben een inspiratielijst </w:t>
      </w:r>
      <w:r w:rsidR="00FC21C1">
        <w:t>opgesteld</w:t>
      </w:r>
      <w:r>
        <w:t xml:space="preserve">. Wij hebben die aangevuld met type risicobedrijven. </w:t>
      </w:r>
      <w:r w:rsidR="00FC21C1">
        <w:t>Een v</w:t>
      </w:r>
      <w:r w:rsidR="00FC21C1" w:rsidRPr="00FC21C1">
        <w:t>oorbeelden van te beschermen belangen:</w:t>
      </w:r>
    </w:p>
    <w:p w14:paraId="703B8FEB" w14:textId="77777777" w:rsidR="00E9790F" w:rsidRPr="00DA4D6D" w:rsidRDefault="00E9790F" w:rsidP="00E9790F">
      <w:r w:rsidRPr="00DA4D6D">
        <w:t>Financiële belangen:</w:t>
      </w:r>
    </w:p>
    <w:p w14:paraId="380D22DC" w14:textId="77777777" w:rsidR="00E9790F" w:rsidRPr="00DA4D6D" w:rsidRDefault="00E9790F" w:rsidP="00E9790F">
      <w:pPr>
        <w:numPr>
          <w:ilvl w:val="0"/>
          <w:numId w:val="2"/>
        </w:numPr>
      </w:pPr>
      <w:r w:rsidRPr="00DA4D6D">
        <w:t>Integriteit van financiële gegevens</w:t>
      </w:r>
    </w:p>
    <w:p w14:paraId="6AFF1F78" w14:textId="77777777" w:rsidR="00E9790F" w:rsidRPr="00DA4D6D" w:rsidRDefault="00E9790F" w:rsidP="00E9790F">
      <w:pPr>
        <w:numPr>
          <w:ilvl w:val="0"/>
          <w:numId w:val="2"/>
        </w:numPr>
      </w:pPr>
      <w:r w:rsidRPr="00DA4D6D">
        <w:t>Beschikbaarheid van budgetten en prognoses</w:t>
      </w:r>
    </w:p>
    <w:p w14:paraId="58673EB8" w14:textId="77777777" w:rsidR="00E9790F" w:rsidRPr="00DA4D6D" w:rsidRDefault="00E9790F" w:rsidP="00E9790F">
      <w:pPr>
        <w:numPr>
          <w:ilvl w:val="0"/>
          <w:numId w:val="2"/>
        </w:numPr>
      </w:pPr>
      <w:r w:rsidRPr="00DA4D6D">
        <w:t>Vertrouwelijkheid van salarisadministratie</w:t>
      </w:r>
    </w:p>
    <w:p w14:paraId="0BDE0A10" w14:textId="77777777" w:rsidR="00E9790F" w:rsidRPr="00DA4D6D" w:rsidRDefault="00E9790F" w:rsidP="00E9790F">
      <w:pPr>
        <w:numPr>
          <w:ilvl w:val="0"/>
          <w:numId w:val="2"/>
        </w:numPr>
      </w:pPr>
      <w:r w:rsidRPr="00DA4D6D">
        <w:t>Vertrouwelijkheid van bankgegevens en transacties</w:t>
      </w:r>
    </w:p>
    <w:p w14:paraId="6034CCE5" w14:textId="77777777" w:rsidR="00E9790F" w:rsidRPr="00DA4D6D" w:rsidRDefault="00E9790F" w:rsidP="00E9790F"/>
    <w:p w14:paraId="365A7048" w14:textId="4AFF7914" w:rsidR="00E9790F" w:rsidRPr="00DA4D6D" w:rsidRDefault="00E9790F" w:rsidP="00E9790F">
      <w:r w:rsidRPr="00DA4D6D">
        <w:t>Deze gegevens liggen vaak buiten bij de accountant, bij de boekhouder en payroll provider.</w:t>
      </w:r>
      <w:r>
        <w:t xml:space="preserve"> </w:t>
      </w:r>
      <w:r w:rsidRPr="00DA4D6D">
        <w:t>Allemaal leveranciers</w:t>
      </w:r>
      <w:r w:rsidR="00830B60">
        <w:t xml:space="preserve"> en zijn dus </w:t>
      </w:r>
      <w:r w:rsidRPr="00DA4D6D">
        <w:t>Te Beschermen Belangen.</w:t>
      </w:r>
    </w:p>
    <w:p w14:paraId="469253B2" w14:textId="5BD33946" w:rsidR="00E9790F" w:rsidRPr="002D3046" w:rsidRDefault="00E9790F" w:rsidP="00E9790F">
      <w:pPr>
        <w:rPr>
          <w:b/>
          <w:bCs/>
          <w:u w:val="single"/>
        </w:rPr>
      </w:pPr>
      <w:r w:rsidRPr="00830B60">
        <w:rPr>
          <w:b/>
          <w:bCs/>
        </w:rPr>
        <w:t>Er zijn 12 rubrieken te beschermen belangen met ongeveer 600 leveranciers</w:t>
      </w:r>
      <w:r w:rsidRPr="00DA4D6D">
        <w:t xml:space="preserve"> </w:t>
      </w:r>
      <w:r w:rsidR="00830B60">
        <w:t>mogelijk</w:t>
      </w:r>
      <w:r w:rsidRPr="00DA4D6D">
        <w:t xml:space="preserve"> een risico kunnen zijn.</w:t>
      </w:r>
      <w:r w:rsidR="002D3046">
        <w:t xml:space="preserve"> </w:t>
      </w:r>
      <w:r w:rsidR="002D3046" w:rsidRPr="002D3046">
        <w:rPr>
          <w:b/>
          <w:bCs/>
          <w:u w:val="single"/>
        </w:rPr>
        <w:t>Zie document TBB + 50000mkb</w:t>
      </w:r>
    </w:p>
    <w:p w14:paraId="4E65A36E" w14:textId="77777777" w:rsidR="00E9790F" w:rsidRDefault="00E9790F" w:rsidP="00E9790F"/>
    <w:p w14:paraId="025094C3" w14:textId="77777777" w:rsidR="00E9790F" w:rsidRDefault="00E9790F" w:rsidP="00E9790F"/>
    <w:p w14:paraId="6D9EBCB1" w14:textId="213D0883" w:rsidR="00E9790F" w:rsidRDefault="00E9790F" w:rsidP="00E9790F">
      <w:pPr>
        <w:rPr>
          <w:color w:val="45B0E1" w:themeColor="accent1" w:themeTint="99"/>
          <w:sz w:val="28"/>
          <w:szCs w:val="28"/>
        </w:rPr>
      </w:pPr>
      <w:r w:rsidRPr="00E9790F">
        <w:rPr>
          <w:color w:val="45B0E1" w:themeColor="accent1" w:themeTint="99"/>
          <w:sz w:val="28"/>
          <w:szCs w:val="28"/>
        </w:rPr>
        <w:t>Op de website van het ministerie van Infrastructuur en Waterstaat</w:t>
      </w:r>
    </w:p>
    <w:p w14:paraId="35B2D033" w14:textId="37434F3C" w:rsidR="00E9790F" w:rsidRPr="00C009D7" w:rsidRDefault="00E9790F" w:rsidP="00E9790F">
      <w:pPr>
        <w:rPr>
          <w:b/>
          <w:bCs/>
        </w:rPr>
      </w:pPr>
      <w:r w:rsidRPr="00C009D7">
        <w:rPr>
          <w:b/>
          <w:bCs/>
        </w:rPr>
        <w:t xml:space="preserve">Berenschot </w:t>
      </w:r>
      <w:r w:rsidR="00AF6FB4">
        <w:rPr>
          <w:b/>
          <w:bCs/>
        </w:rPr>
        <w:t xml:space="preserve">rapport </w:t>
      </w:r>
      <w:r w:rsidRPr="00C009D7">
        <w:rPr>
          <w:b/>
          <w:bCs/>
        </w:rPr>
        <w:t>in opdracht van ministerie I&amp;W</w:t>
      </w:r>
    </w:p>
    <w:p w14:paraId="34DD5C2B" w14:textId="77A7FE1F" w:rsidR="00E10B1C" w:rsidRPr="00E10B1C" w:rsidRDefault="00E10B1C" w:rsidP="00E10B1C">
      <w:r w:rsidRPr="00E10B1C">
        <w:t xml:space="preserve">Berenschot heeft, in opdracht van het ministerie van I&amp;W, onderzoek gedaan naar de NIS2-ketenimpact in de chemische sector. De conclusie: NIS2 heeft een bredere scope dan alleen IT en OT. Er wordt specifiek ingezoomd op fysieke risico’s, die ook voortkomen uit de term </w:t>
      </w:r>
      <w:r w:rsidRPr="00E10B1C">
        <w:rPr>
          <w:i/>
          <w:iCs/>
        </w:rPr>
        <w:t>alle leveranciers</w:t>
      </w:r>
      <w:r w:rsidRPr="00E10B1C">
        <w:t xml:space="preserve"> (Artikel 21.2d).</w:t>
      </w:r>
    </w:p>
    <w:p w14:paraId="2B25A28F" w14:textId="77777777" w:rsidR="00E10B1C" w:rsidRPr="00E10B1C" w:rsidRDefault="00E10B1C" w:rsidP="00E10B1C">
      <w:r w:rsidRPr="00E10B1C">
        <w:t>Het rapport benadrukt dat de toeleveringsketen, inclusief subleveranciers, binnen de reikwijdte van NIS2 valt. Interessante punten:</w:t>
      </w:r>
    </w:p>
    <w:p w14:paraId="5DD9FF9F" w14:textId="77777777" w:rsidR="00E10B1C" w:rsidRPr="00E10B1C" w:rsidRDefault="00E10B1C" w:rsidP="00E10B1C">
      <w:pPr>
        <w:numPr>
          <w:ilvl w:val="0"/>
          <w:numId w:val="3"/>
        </w:numPr>
      </w:pPr>
      <w:r w:rsidRPr="00E10B1C">
        <w:rPr>
          <w:b/>
          <w:bCs/>
        </w:rPr>
        <w:t>Pagina 8:</w:t>
      </w:r>
      <w:r w:rsidRPr="00E10B1C">
        <w:t xml:space="preserve"> Relevante praktijkvoorbeelden.</w:t>
      </w:r>
    </w:p>
    <w:p w14:paraId="0F304F08" w14:textId="77777777" w:rsidR="00E10B1C" w:rsidRPr="00E10B1C" w:rsidRDefault="00E10B1C" w:rsidP="00E10B1C">
      <w:pPr>
        <w:numPr>
          <w:ilvl w:val="0"/>
          <w:numId w:val="3"/>
        </w:numPr>
      </w:pPr>
      <w:r w:rsidRPr="00E10B1C">
        <w:rPr>
          <w:b/>
          <w:bCs/>
        </w:rPr>
        <w:t>Pagina 11:</w:t>
      </w:r>
      <w:r w:rsidRPr="00E10B1C">
        <w:t xml:space="preserve"> Beslisboom, inclusief de </w:t>
      </w:r>
      <w:r w:rsidRPr="00E10B1C">
        <w:rPr>
          <w:i/>
          <w:iCs/>
        </w:rPr>
        <w:t>toeleverancier zonder ICT-component</w:t>
      </w:r>
      <w:r w:rsidRPr="00E10B1C">
        <w:t>.</w:t>
      </w:r>
    </w:p>
    <w:p w14:paraId="4B549855" w14:textId="77777777" w:rsidR="00E10B1C" w:rsidRPr="00E10B1C" w:rsidRDefault="00E10B1C" w:rsidP="00E10B1C">
      <w:pPr>
        <w:numPr>
          <w:ilvl w:val="0"/>
          <w:numId w:val="3"/>
        </w:numPr>
      </w:pPr>
      <w:r w:rsidRPr="00E10B1C">
        <w:rPr>
          <w:b/>
          <w:bCs/>
        </w:rPr>
        <w:t>Pagina 12, punt 3:</w:t>
      </w:r>
      <w:r w:rsidRPr="00E10B1C">
        <w:t xml:space="preserve"> Verduidelijking over subleveranciers.</w:t>
      </w:r>
    </w:p>
    <w:p w14:paraId="0764D816" w14:textId="77777777" w:rsidR="00E10B1C" w:rsidRPr="00E10B1C" w:rsidRDefault="00E10B1C" w:rsidP="00E10B1C">
      <w:r w:rsidRPr="00E10B1C">
        <w:t>Dit rapport wordt vaak besproken door cyberexperts, omdat het een van de eerste publicaties was die dit onderwerp uitdiepte. Inmiddels, ruim twee jaar later, is de realiteit verder ontwikkeld. Het cascade-effect in de keten bestaat al jaren. Ook zonder NIS2 wordt dit al geregeld, omdat het logisch is: bedrijven vragen leveranciers om een bewijs van cybersecurity in de vorm van certificering.</w:t>
      </w:r>
    </w:p>
    <w:p w14:paraId="42C28A5A" w14:textId="6372487D" w:rsidR="00E10B1C" w:rsidRPr="00E10B1C" w:rsidRDefault="00E10B1C" w:rsidP="00E10B1C">
      <w:r w:rsidRPr="00E10B1C">
        <w:rPr>
          <w:b/>
          <w:bCs/>
        </w:rPr>
        <w:t>NIS2-</w:t>
      </w:r>
      <w:r w:rsidR="00E65ECB">
        <w:rPr>
          <w:b/>
          <w:bCs/>
        </w:rPr>
        <w:t>SC</w:t>
      </w:r>
      <w:r w:rsidRPr="00E10B1C">
        <w:rPr>
          <w:b/>
          <w:bCs/>
        </w:rPr>
        <w:t>10</w:t>
      </w:r>
      <w:r w:rsidRPr="00E10B1C">
        <w:t xml:space="preserve"> is de meest geschikte en haalbare certificering voor het gros van de leveranciers. Bij grotere risico’s, zoals IT en OT, wordt </w:t>
      </w:r>
      <w:r w:rsidRPr="00E10B1C">
        <w:rPr>
          <w:b/>
          <w:bCs/>
        </w:rPr>
        <w:t>NIS2-</w:t>
      </w:r>
      <w:r w:rsidR="00E65ECB">
        <w:rPr>
          <w:b/>
          <w:bCs/>
        </w:rPr>
        <w:t>SC</w:t>
      </w:r>
      <w:r w:rsidRPr="00E10B1C">
        <w:rPr>
          <w:b/>
          <w:bCs/>
        </w:rPr>
        <w:t>20</w:t>
      </w:r>
      <w:r w:rsidRPr="00E10B1C">
        <w:t xml:space="preserve"> of </w:t>
      </w:r>
      <w:r w:rsidRPr="00E10B1C">
        <w:rPr>
          <w:b/>
          <w:bCs/>
        </w:rPr>
        <w:t>NIS2-</w:t>
      </w:r>
      <w:r w:rsidR="00E65ECB">
        <w:rPr>
          <w:b/>
          <w:bCs/>
        </w:rPr>
        <w:t>SC</w:t>
      </w:r>
      <w:r w:rsidRPr="00E10B1C">
        <w:rPr>
          <w:b/>
          <w:bCs/>
        </w:rPr>
        <w:t>30</w:t>
      </w:r>
      <w:r w:rsidRPr="00E10B1C">
        <w:t xml:space="preserve"> gebruikt.</w:t>
      </w:r>
    </w:p>
    <w:p w14:paraId="62301FC6" w14:textId="77777777" w:rsidR="002D3046" w:rsidRDefault="002D3046" w:rsidP="002D3046">
      <w:hyperlink r:id="rId5" w:history="1">
        <w:r w:rsidRPr="004E670C">
          <w:rPr>
            <w:rStyle w:val="Hyperlink"/>
          </w:rPr>
          <w:t>https://open.overheid.nl/documenten/2f8a0ad3-8b50-42f0-8b39-62ac59615600/file</w:t>
        </w:r>
      </w:hyperlink>
      <w:r>
        <w:t xml:space="preserve"> </w:t>
      </w:r>
    </w:p>
    <w:p w14:paraId="5B20C861" w14:textId="77777777" w:rsidR="00E9790F" w:rsidRPr="00E9790F" w:rsidRDefault="00E9790F" w:rsidP="00E9790F">
      <w:pPr>
        <w:rPr>
          <w:color w:val="45B0E1" w:themeColor="accent1" w:themeTint="99"/>
          <w:sz w:val="28"/>
          <w:szCs w:val="28"/>
        </w:rPr>
      </w:pPr>
    </w:p>
    <w:p w14:paraId="4686FD85" w14:textId="77777777" w:rsidR="00E9790F" w:rsidRPr="00DA4D6D" w:rsidRDefault="00E9790F" w:rsidP="00E9790F"/>
    <w:p w14:paraId="19E3E3B1" w14:textId="77777777" w:rsidR="00E9790F" w:rsidRPr="00E9790F" w:rsidRDefault="00E9790F" w:rsidP="00E9790F"/>
    <w:p w14:paraId="5F495BA1" w14:textId="77777777" w:rsidR="00E9790F" w:rsidRDefault="00E9790F"/>
    <w:sectPr w:rsidR="00E979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23C67"/>
    <w:multiLevelType w:val="multilevel"/>
    <w:tmpl w:val="0F40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3A2387"/>
    <w:multiLevelType w:val="multilevel"/>
    <w:tmpl w:val="541E64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41B0E47"/>
    <w:multiLevelType w:val="hybridMultilevel"/>
    <w:tmpl w:val="EAD47F1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8301450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9267826">
    <w:abstractNumId w:val="1"/>
  </w:num>
  <w:num w:numId="3" w16cid:durableId="230047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90F"/>
    <w:rsid w:val="002D3046"/>
    <w:rsid w:val="003347CB"/>
    <w:rsid w:val="007419E1"/>
    <w:rsid w:val="00830B60"/>
    <w:rsid w:val="009F2AE0"/>
    <w:rsid w:val="00AD742D"/>
    <w:rsid w:val="00AF6FB4"/>
    <w:rsid w:val="00BC7ACD"/>
    <w:rsid w:val="00CC3722"/>
    <w:rsid w:val="00E10B1C"/>
    <w:rsid w:val="00E65ECB"/>
    <w:rsid w:val="00E9790F"/>
    <w:rsid w:val="00FC21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19E05"/>
  <w15:chartTrackingRefBased/>
  <w15:docId w15:val="{930F58D7-4DBF-4493-A1BA-4BA2CCAC3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79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979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79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79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979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979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79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79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79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79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979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79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79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79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79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79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79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790F"/>
    <w:rPr>
      <w:rFonts w:eastAsiaTheme="majorEastAsia" w:cstheme="majorBidi"/>
      <w:color w:val="272727" w:themeColor="text1" w:themeTint="D8"/>
    </w:rPr>
  </w:style>
  <w:style w:type="paragraph" w:styleId="Titel">
    <w:name w:val="Title"/>
    <w:basedOn w:val="Standaard"/>
    <w:next w:val="Standaard"/>
    <w:link w:val="TitelChar"/>
    <w:uiPriority w:val="10"/>
    <w:qFormat/>
    <w:rsid w:val="00E979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79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79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79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79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790F"/>
    <w:rPr>
      <w:i/>
      <w:iCs/>
      <w:color w:val="404040" w:themeColor="text1" w:themeTint="BF"/>
    </w:rPr>
  </w:style>
  <w:style w:type="paragraph" w:styleId="Lijstalinea">
    <w:name w:val="List Paragraph"/>
    <w:basedOn w:val="Standaard"/>
    <w:uiPriority w:val="34"/>
    <w:qFormat/>
    <w:rsid w:val="00E9790F"/>
    <w:pPr>
      <w:ind w:left="720"/>
      <w:contextualSpacing/>
    </w:pPr>
  </w:style>
  <w:style w:type="character" w:styleId="Intensievebenadrukking">
    <w:name w:val="Intense Emphasis"/>
    <w:basedOn w:val="Standaardalinea-lettertype"/>
    <w:uiPriority w:val="21"/>
    <w:qFormat/>
    <w:rsid w:val="00E9790F"/>
    <w:rPr>
      <w:i/>
      <w:iCs/>
      <w:color w:val="0F4761" w:themeColor="accent1" w:themeShade="BF"/>
    </w:rPr>
  </w:style>
  <w:style w:type="paragraph" w:styleId="Duidelijkcitaat">
    <w:name w:val="Intense Quote"/>
    <w:basedOn w:val="Standaard"/>
    <w:next w:val="Standaard"/>
    <w:link w:val="DuidelijkcitaatChar"/>
    <w:uiPriority w:val="30"/>
    <w:qFormat/>
    <w:rsid w:val="00E979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9790F"/>
    <w:rPr>
      <w:i/>
      <w:iCs/>
      <w:color w:val="0F4761" w:themeColor="accent1" w:themeShade="BF"/>
    </w:rPr>
  </w:style>
  <w:style w:type="character" w:styleId="Intensieveverwijzing">
    <w:name w:val="Intense Reference"/>
    <w:basedOn w:val="Standaardalinea-lettertype"/>
    <w:uiPriority w:val="32"/>
    <w:qFormat/>
    <w:rsid w:val="00E9790F"/>
    <w:rPr>
      <w:b/>
      <w:bCs/>
      <w:smallCaps/>
      <w:color w:val="0F4761" w:themeColor="accent1" w:themeShade="BF"/>
      <w:spacing w:val="5"/>
    </w:rPr>
  </w:style>
  <w:style w:type="character" w:styleId="Hyperlink">
    <w:name w:val="Hyperlink"/>
    <w:basedOn w:val="Standaardalinea-lettertype"/>
    <w:uiPriority w:val="99"/>
    <w:unhideWhenUsed/>
    <w:rsid w:val="00E9790F"/>
    <w:rPr>
      <w:color w:val="467886" w:themeColor="hyperlink"/>
      <w:u w:val="single"/>
    </w:rPr>
  </w:style>
  <w:style w:type="character" w:styleId="GevolgdeHyperlink">
    <w:name w:val="FollowedHyperlink"/>
    <w:basedOn w:val="Standaardalinea-lettertype"/>
    <w:uiPriority w:val="99"/>
    <w:semiHidden/>
    <w:unhideWhenUsed/>
    <w:rsid w:val="002D304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027532">
      <w:bodyDiv w:val="1"/>
      <w:marLeft w:val="0"/>
      <w:marRight w:val="0"/>
      <w:marTop w:val="0"/>
      <w:marBottom w:val="0"/>
      <w:divBdr>
        <w:top w:val="none" w:sz="0" w:space="0" w:color="auto"/>
        <w:left w:val="none" w:sz="0" w:space="0" w:color="auto"/>
        <w:bottom w:val="none" w:sz="0" w:space="0" w:color="auto"/>
        <w:right w:val="none" w:sz="0" w:space="0" w:color="auto"/>
      </w:divBdr>
    </w:div>
    <w:div w:id="88239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pen.overheid.nl/documenten/2f8a0ad3-8b50-42f0-8b39-62ac59615600/fil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483</Words>
  <Characters>2660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Hoogendijk</dc:creator>
  <cp:keywords/>
  <dc:description/>
  <cp:lastModifiedBy>Kristel Houtappels</cp:lastModifiedBy>
  <cp:revision>10</cp:revision>
  <dcterms:created xsi:type="dcterms:W3CDTF">2025-02-04T04:21:00Z</dcterms:created>
  <dcterms:modified xsi:type="dcterms:W3CDTF">2026-01-14T15:40:00Z</dcterms:modified>
</cp:coreProperties>
</file>